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380143D7" w:rsidR="00B43526" w:rsidRDefault="00777580" w:rsidP="001739F0">
      <w:pPr>
        <w:pStyle w:val="Title"/>
      </w:pPr>
      <w:r w:rsidRPr="00777580">
        <w:t xml:space="preserve">Governance and Workspace Assistant </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13B0558A" w14:textId="10E0EE33" w:rsidR="00CC070A" w:rsidRDefault="00CC070A" w:rsidP="00CC070A">
      <w:pPr>
        <w:pStyle w:val="ListParagraph"/>
        <w:numPr>
          <w:ilvl w:val="0"/>
          <w:numId w:val="6"/>
        </w:numPr>
      </w:pPr>
      <w:r w:rsidRPr="00CC070A">
        <w:rPr>
          <w:rStyle w:val="Demibold"/>
        </w:rPr>
        <w:t xml:space="preserve">Salary: </w:t>
      </w:r>
      <w:r>
        <w:t xml:space="preserve">Grade </w:t>
      </w:r>
      <w:r w:rsidR="00777580">
        <w:t>E</w:t>
      </w:r>
      <w:r>
        <w:t xml:space="preserve"> </w:t>
      </w:r>
    </w:p>
    <w:p w14:paraId="7AAA4329" w14:textId="56330F03" w:rsidR="00CC070A" w:rsidRDefault="00CC070A" w:rsidP="00CC070A">
      <w:pPr>
        <w:pStyle w:val="ListParagraph"/>
        <w:numPr>
          <w:ilvl w:val="0"/>
          <w:numId w:val="6"/>
        </w:numPr>
      </w:pPr>
      <w:r w:rsidRPr="00CC070A">
        <w:rPr>
          <w:rStyle w:val="Demibold"/>
        </w:rPr>
        <w:t xml:space="preserve">Line manager: </w:t>
      </w:r>
      <w:r w:rsidR="00777580" w:rsidRPr="00777580">
        <w:t>Governance and Workspace Manager</w:t>
      </w:r>
    </w:p>
    <w:p w14:paraId="70DF63AB" w14:textId="33589A3B" w:rsidR="008D63E7" w:rsidRDefault="00CC070A" w:rsidP="00777580">
      <w:pPr>
        <w:numPr>
          <w:ilvl w:val="0"/>
          <w:numId w:val="6"/>
        </w:numPr>
      </w:pPr>
      <w:r w:rsidRPr="00CC070A">
        <w:rPr>
          <w:rStyle w:val="Demibold"/>
        </w:rPr>
        <w:t xml:space="preserve">Department / Team: </w:t>
      </w:r>
      <w:r w:rsidR="00777580" w:rsidRPr="00777580">
        <w:t>Planning, Governance and Assurance Directorate</w:t>
      </w:r>
    </w:p>
    <w:p w14:paraId="44FF86FD" w14:textId="77777777" w:rsidR="008D63E7" w:rsidRDefault="008D63E7" w:rsidP="008D63E7">
      <w:pPr>
        <w:pStyle w:val="Heading2"/>
      </w:pPr>
      <w:r>
        <w:t>Role summary</w:t>
      </w:r>
    </w:p>
    <w:p w14:paraId="533457BF" w14:textId="5E441991" w:rsidR="003163FB" w:rsidRDefault="00777580" w:rsidP="003163FB">
      <w:pPr>
        <w:adjustRightInd/>
        <w:snapToGrid/>
        <w:spacing w:after="0"/>
      </w:pPr>
      <w:r w:rsidRPr="00777580">
        <w:t xml:space="preserve">This role provides proactive, high quality administrative support to the Board of Trustees, supporting Board Committees, Workspace management </w:t>
      </w:r>
      <w:r w:rsidR="002D08A0">
        <w:t xml:space="preserve">team </w:t>
      </w:r>
      <w:r w:rsidRPr="00777580">
        <w:t xml:space="preserve">and </w:t>
      </w:r>
      <w:r w:rsidR="002D08A0">
        <w:t>the</w:t>
      </w:r>
      <w:r w:rsidRPr="00777580">
        <w:t xml:space="preserve"> compliance responsibilities of the Planning, Governance and Assurance Directorate.</w:t>
      </w:r>
    </w:p>
    <w:p w14:paraId="0516283A" w14:textId="77777777" w:rsidR="008D63E7" w:rsidRDefault="008D63E7" w:rsidP="008D63E7">
      <w:pPr>
        <w:pStyle w:val="Heading2"/>
      </w:pPr>
      <w:r>
        <w:t>Key responsibilities</w:t>
      </w:r>
    </w:p>
    <w:p w14:paraId="771983E2" w14:textId="77777777" w:rsidR="00777580" w:rsidRDefault="00777580" w:rsidP="00777580">
      <w:pPr>
        <w:pStyle w:val="ListParagraph"/>
        <w:numPr>
          <w:ilvl w:val="0"/>
          <w:numId w:val="8"/>
        </w:numPr>
      </w:pPr>
      <w:r>
        <w:t>Develop and administer the forward plan for Board meetings throughout the year, ensuring effective, efficient and timely preparation, including pre-meetings for the Planning, Governance and Assurance Director, Chief Executive, and Chair of the Board.</w:t>
      </w:r>
    </w:p>
    <w:p w14:paraId="28E56499" w14:textId="77777777" w:rsidR="00777580" w:rsidRDefault="00777580" w:rsidP="00777580">
      <w:pPr>
        <w:pStyle w:val="ListParagraph"/>
        <w:numPr>
          <w:ilvl w:val="0"/>
          <w:numId w:val="8"/>
        </w:numPr>
      </w:pPr>
      <w:r>
        <w:t>Provide comprehensive support to the organisation of in-person Board and online Board Committee meetings including compiling and distributing papers and making practical arrangements such as booking venues, accommodation, dinners and travel, when required.</w:t>
      </w:r>
    </w:p>
    <w:p w14:paraId="0350FFDA" w14:textId="77777777" w:rsidR="00777580" w:rsidRDefault="00777580" w:rsidP="00777580">
      <w:pPr>
        <w:pStyle w:val="ListParagraph"/>
        <w:numPr>
          <w:ilvl w:val="0"/>
          <w:numId w:val="8"/>
        </w:numPr>
      </w:pPr>
      <w:r>
        <w:t>Ensure that accurate minutes of meetings of the Board, Board Committee, Health &amp; Safety, and Designated Safeguarding Officer Network are recorded including actions and decisions.</w:t>
      </w:r>
    </w:p>
    <w:p w14:paraId="5573FF7F" w14:textId="77777777" w:rsidR="00777580" w:rsidRDefault="00777580" w:rsidP="00777580">
      <w:pPr>
        <w:pStyle w:val="ListParagraph"/>
        <w:numPr>
          <w:ilvl w:val="0"/>
          <w:numId w:val="8"/>
        </w:numPr>
      </w:pPr>
      <w:r>
        <w:t>Develop and administer the forward plan for Board Committee meetings throughout the year, ensuring effective, efficient and timely preparation, including pre-meetings for the Planning, Governance and Assurance Director, Executive Lead for the respective Board Committee, and the respective Board Committee Chair.</w:t>
      </w:r>
    </w:p>
    <w:p w14:paraId="5E1D98E8" w14:textId="77777777" w:rsidR="00777580" w:rsidRDefault="00777580" w:rsidP="00777580">
      <w:pPr>
        <w:pStyle w:val="ListParagraph"/>
        <w:numPr>
          <w:ilvl w:val="0"/>
          <w:numId w:val="8"/>
        </w:numPr>
      </w:pPr>
      <w:r>
        <w:t xml:space="preserve">Support the management of a timetable and agenda planner for Board and Board Committee meetings and ensure that the timing of agenda </w:t>
      </w:r>
      <w:r>
        <w:lastRenderedPageBreak/>
        <w:t>items is optimised to support clear information flow from Executive Team to Board Committee to Board meetings to enable sound decision-making.</w:t>
      </w:r>
    </w:p>
    <w:p w14:paraId="307FF119" w14:textId="77777777" w:rsidR="00777580" w:rsidRDefault="00777580" w:rsidP="00777580">
      <w:pPr>
        <w:pStyle w:val="ListParagraph"/>
        <w:numPr>
          <w:ilvl w:val="0"/>
          <w:numId w:val="8"/>
        </w:numPr>
      </w:pPr>
      <w:r>
        <w:t>Assist in maintaining the charity’s governance records, including the Register of Interests and keep all Board and Board Committee action and decision logs up to date, following up on outstanding actions, as required.</w:t>
      </w:r>
    </w:p>
    <w:p w14:paraId="37510661" w14:textId="77777777" w:rsidR="00777580" w:rsidRDefault="00777580" w:rsidP="00777580">
      <w:pPr>
        <w:pStyle w:val="ListParagraph"/>
        <w:numPr>
          <w:ilvl w:val="0"/>
          <w:numId w:val="8"/>
        </w:numPr>
      </w:pPr>
      <w:r>
        <w:t>Administer the charity’s online Board portal, setting up new accounts, training new users and troubleshooting issues.</w:t>
      </w:r>
    </w:p>
    <w:p w14:paraId="3A6E76DA" w14:textId="77777777" w:rsidR="00777580" w:rsidRDefault="00777580" w:rsidP="00777580">
      <w:pPr>
        <w:pStyle w:val="ListParagraph"/>
        <w:numPr>
          <w:ilvl w:val="0"/>
          <w:numId w:val="8"/>
        </w:numPr>
      </w:pPr>
      <w:r>
        <w:t xml:space="preserve">Support Trustee recruitment and inductions providing essential materials and information. </w:t>
      </w:r>
    </w:p>
    <w:p w14:paraId="3AD26B34" w14:textId="77777777" w:rsidR="00777580" w:rsidRDefault="00777580" w:rsidP="00777580">
      <w:pPr>
        <w:pStyle w:val="ListParagraph"/>
        <w:numPr>
          <w:ilvl w:val="0"/>
          <w:numId w:val="8"/>
        </w:numPr>
      </w:pPr>
      <w:r>
        <w:t>Manage Trustee expenses.</w:t>
      </w:r>
    </w:p>
    <w:p w14:paraId="356773D9" w14:textId="77777777" w:rsidR="00777580" w:rsidRDefault="00777580" w:rsidP="00777580">
      <w:pPr>
        <w:pStyle w:val="ListParagraph"/>
        <w:numPr>
          <w:ilvl w:val="0"/>
          <w:numId w:val="8"/>
        </w:numPr>
      </w:pPr>
      <w:r>
        <w:t>Keep the Governance and Workspace Management intranet sites under review, ensuring content is accurate and accessible.</w:t>
      </w:r>
    </w:p>
    <w:p w14:paraId="5CD40A05" w14:textId="77777777" w:rsidR="00777580" w:rsidRDefault="00777580" w:rsidP="00777580">
      <w:pPr>
        <w:pStyle w:val="ListParagraph"/>
        <w:numPr>
          <w:ilvl w:val="0"/>
          <w:numId w:val="8"/>
        </w:numPr>
      </w:pPr>
      <w:r>
        <w:t>Manage the Governance and Workspace management mailboxes, ensuring queries from colleagues and others are responded to in a timely and professional manner or redirected to the most relevant team.</w:t>
      </w:r>
    </w:p>
    <w:p w14:paraId="4D9158E1" w14:textId="77777777" w:rsidR="00777580" w:rsidRDefault="00777580" w:rsidP="00777580">
      <w:pPr>
        <w:pStyle w:val="ListParagraph"/>
        <w:numPr>
          <w:ilvl w:val="0"/>
          <w:numId w:val="8"/>
        </w:numPr>
      </w:pPr>
      <w:r>
        <w:t>Provide administrative support for Workspace management activities, including maintaining accurate workspace utilisation records to enable reporting and data analysis that informs strategic decisions on workspace usage.</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1C6A2DAA" w14:textId="77777777" w:rsidR="00777580" w:rsidRPr="00777580" w:rsidRDefault="00777580" w:rsidP="00777580">
      <w:pPr>
        <w:numPr>
          <w:ilvl w:val="0"/>
          <w:numId w:val="6"/>
        </w:numPr>
      </w:pPr>
      <w:r w:rsidRPr="00777580">
        <w:t xml:space="preserve">Experience of providing proactive administrative assistance to a Board of Trustees in an organisation of comparable size. </w:t>
      </w:r>
    </w:p>
    <w:p w14:paraId="76341292" w14:textId="77777777" w:rsidR="008D63E7" w:rsidRDefault="008D63E7" w:rsidP="008D63E7">
      <w:pPr>
        <w:pStyle w:val="Heading2"/>
      </w:pPr>
      <w:r>
        <w:lastRenderedPageBreak/>
        <w:t>Specific/technical knowledge required</w:t>
      </w:r>
    </w:p>
    <w:p w14:paraId="2DD27EF6" w14:textId="77777777" w:rsidR="00777580" w:rsidRPr="00777580" w:rsidRDefault="00777580" w:rsidP="00777580">
      <w:pPr>
        <w:numPr>
          <w:ilvl w:val="0"/>
          <w:numId w:val="6"/>
        </w:numPr>
      </w:pPr>
      <w:r w:rsidRPr="00777580">
        <w:t>Understanding of charity governance principles and the roles and responsibilities of Executive Teams and Board of Trustees.</w:t>
      </w:r>
    </w:p>
    <w:p w14:paraId="79A0B0E8" w14:textId="77777777" w:rsidR="008D63E7" w:rsidRDefault="008D63E7" w:rsidP="008D63E7">
      <w:pPr>
        <w:pStyle w:val="Heading2"/>
      </w:pPr>
      <w:r>
        <w:t>Skills and abilities</w:t>
      </w:r>
    </w:p>
    <w:p w14:paraId="38EEE7B5" w14:textId="77777777" w:rsidR="00777580" w:rsidRDefault="00777580" w:rsidP="00777580">
      <w:pPr>
        <w:pStyle w:val="ListParagraph"/>
        <w:numPr>
          <w:ilvl w:val="0"/>
          <w:numId w:val="6"/>
        </w:numPr>
      </w:pPr>
      <w:r>
        <w:t>Excellent administrative and organisational skills.</w:t>
      </w:r>
    </w:p>
    <w:p w14:paraId="403BDBFA" w14:textId="77777777" w:rsidR="00777580" w:rsidRDefault="00777580" w:rsidP="00777580">
      <w:pPr>
        <w:pStyle w:val="ListParagraph"/>
        <w:numPr>
          <w:ilvl w:val="0"/>
          <w:numId w:val="6"/>
        </w:numPr>
      </w:pPr>
      <w:r>
        <w:t>Excellent minute-taking skills.</w:t>
      </w:r>
    </w:p>
    <w:p w14:paraId="5372DBC3" w14:textId="77777777" w:rsidR="00777580" w:rsidRDefault="00777580" w:rsidP="00777580">
      <w:pPr>
        <w:pStyle w:val="ListParagraph"/>
        <w:numPr>
          <w:ilvl w:val="0"/>
          <w:numId w:val="6"/>
        </w:numPr>
      </w:pPr>
      <w:r>
        <w:t>Good IT literacy.</w:t>
      </w:r>
    </w:p>
    <w:p w14:paraId="7865AECA" w14:textId="77777777" w:rsidR="00777580" w:rsidRDefault="00777580" w:rsidP="00777580">
      <w:pPr>
        <w:pStyle w:val="ListParagraph"/>
        <w:numPr>
          <w:ilvl w:val="0"/>
          <w:numId w:val="6"/>
        </w:numPr>
      </w:pPr>
      <w:r>
        <w:t>Good communication skills.</w:t>
      </w:r>
    </w:p>
    <w:p w14:paraId="6FEF6B40" w14:textId="77777777" w:rsidR="00777580" w:rsidRDefault="00777580" w:rsidP="00777580">
      <w:pPr>
        <w:pStyle w:val="ListParagraph"/>
        <w:numPr>
          <w:ilvl w:val="0"/>
          <w:numId w:val="6"/>
        </w:numPr>
      </w:pPr>
      <w:r>
        <w:t>Ability to manage strong, collaborative relationships with others.</w:t>
      </w:r>
    </w:p>
    <w:p w14:paraId="4EF2576E" w14:textId="77777777" w:rsidR="00777580" w:rsidRDefault="00777580" w:rsidP="00777580">
      <w:pPr>
        <w:pStyle w:val="ListParagraph"/>
        <w:numPr>
          <w:ilvl w:val="0"/>
          <w:numId w:val="6"/>
        </w:numPr>
      </w:pPr>
      <w:r>
        <w:t xml:space="preserve">Ability to work in a calm, professional and efficient manner and to work well under pressure. </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F7A2" w14:textId="77777777" w:rsidR="000B58E1" w:rsidRDefault="000B58E1" w:rsidP="00265BE7">
      <w:r>
        <w:separator/>
      </w:r>
    </w:p>
  </w:endnote>
  <w:endnote w:type="continuationSeparator" w:id="0">
    <w:p w14:paraId="0CDE4DA1" w14:textId="77777777" w:rsidR="000B58E1" w:rsidRDefault="000B58E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5F33" w14:textId="77777777" w:rsidR="000B58E1" w:rsidRDefault="000B58E1" w:rsidP="00265BE7">
      <w:r>
        <w:separator/>
      </w:r>
    </w:p>
  </w:footnote>
  <w:footnote w:type="continuationSeparator" w:id="0">
    <w:p w14:paraId="59A642CE" w14:textId="77777777" w:rsidR="000B58E1" w:rsidRDefault="000B58E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315BF03C" w:rsidR="00B43526" w:rsidRDefault="00777580">
    <w:pPr>
      <w:pStyle w:val="Header"/>
    </w:pPr>
    <w:r>
      <w:rPr>
        <w:noProof/>
      </w:rPr>
      <w:drawing>
        <wp:anchor distT="0" distB="0" distL="114300" distR="114300" simplePos="0" relativeHeight="251658241" behindDoc="1" locked="0" layoutInCell="1" allowOverlap="1" wp14:anchorId="392AF72C" wp14:editId="178DAE14">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51659D86">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3EE1A9B1" w:rsidR="00C77DE0" w:rsidRDefault="00777580">
    <w:pPr>
      <w:pStyle w:val="Header"/>
    </w:pPr>
    <w:r>
      <w:rPr>
        <w:noProof/>
      </w:rPr>
      <w:drawing>
        <wp:anchor distT="0" distB="0" distL="114300" distR="114300" simplePos="0" relativeHeight="251658243" behindDoc="1" locked="0" layoutInCell="1" allowOverlap="1" wp14:anchorId="3564AB7E" wp14:editId="688E8719">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4507DCF0">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11A353C3" w:rsidR="00C77DE0" w:rsidRPr="00834631" w:rsidRDefault="00777580" w:rsidP="00C77DE0">
    <w:pPr>
      <w:pStyle w:val="Header"/>
    </w:pPr>
    <w:r>
      <w:rPr>
        <w:noProof/>
      </w:rPr>
      <w:drawing>
        <wp:anchor distT="0" distB="0" distL="114300" distR="114300" simplePos="0" relativeHeight="251658244" behindDoc="1" locked="0" layoutInCell="1" allowOverlap="1" wp14:anchorId="7E0172DA" wp14:editId="52974E4A">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62812670">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63DCF"/>
    <w:rsid w:val="001739F0"/>
    <w:rsid w:val="00176258"/>
    <w:rsid w:val="001F6345"/>
    <w:rsid w:val="002052E6"/>
    <w:rsid w:val="00225F61"/>
    <w:rsid w:val="0023138C"/>
    <w:rsid w:val="002345E3"/>
    <w:rsid w:val="00236E52"/>
    <w:rsid w:val="002457FA"/>
    <w:rsid w:val="00247A09"/>
    <w:rsid w:val="002500C6"/>
    <w:rsid w:val="002579D4"/>
    <w:rsid w:val="00257BAB"/>
    <w:rsid w:val="00265BE7"/>
    <w:rsid w:val="00271EBF"/>
    <w:rsid w:val="002A3640"/>
    <w:rsid w:val="002B0CFF"/>
    <w:rsid w:val="002C7B50"/>
    <w:rsid w:val="002D08A0"/>
    <w:rsid w:val="002E517A"/>
    <w:rsid w:val="002F4A70"/>
    <w:rsid w:val="003163FB"/>
    <w:rsid w:val="00323CEA"/>
    <w:rsid w:val="0032584F"/>
    <w:rsid w:val="0039276C"/>
    <w:rsid w:val="00396E0F"/>
    <w:rsid w:val="003A0CCB"/>
    <w:rsid w:val="003A6C56"/>
    <w:rsid w:val="003B51FC"/>
    <w:rsid w:val="003F58BC"/>
    <w:rsid w:val="00425E50"/>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96430"/>
    <w:rsid w:val="005A6FE4"/>
    <w:rsid w:val="005B27EA"/>
    <w:rsid w:val="005C43CC"/>
    <w:rsid w:val="005D7A03"/>
    <w:rsid w:val="00652790"/>
    <w:rsid w:val="00667CE5"/>
    <w:rsid w:val="006A6326"/>
    <w:rsid w:val="006B758F"/>
    <w:rsid w:val="006E1C20"/>
    <w:rsid w:val="006E1EAF"/>
    <w:rsid w:val="00700A3E"/>
    <w:rsid w:val="00726F5C"/>
    <w:rsid w:val="007543C4"/>
    <w:rsid w:val="00775A8B"/>
    <w:rsid w:val="00777580"/>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50D7C"/>
    <w:rsid w:val="00B529E7"/>
    <w:rsid w:val="00B9111C"/>
    <w:rsid w:val="00BA4789"/>
    <w:rsid w:val="00BC3E66"/>
    <w:rsid w:val="00C150AD"/>
    <w:rsid w:val="00C22297"/>
    <w:rsid w:val="00C31B10"/>
    <w:rsid w:val="00C37F61"/>
    <w:rsid w:val="00C42F31"/>
    <w:rsid w:val="00C45E0A"/>
    <w:rsid w:val="00C56F6B"/>
    <w:rsid w:val="00C572A4"/>
    <w:rsid w:val="00C77DE0"/>
    <w:rsid w:val="00CC070A"/>
    <w:rsid w:val="00D00F2B"/>
    <w:rsid w:val="00D03601"/>
    <w:rsid w:val="00D570A7"/>
    <w:rsid w:val="00D81191"/>
    <w:rsid w:val="00DD31E1"/>
    <w:rsid w:val="00DF16A1"/>
    <w:rsid w:val="00E01B15"/>
    <w:rsid w:val="00E03283"/>
    <w:rsid w:val="00E071CD"/>
    <w:rsid w:val="00E31459"/>
    <w:rsid w:val="00E71DE9"/>
    <w:rsid w:val="00E87A25"/>
    <w:rsid w:val="00EB0B2E"/>
    <w:rsid w:val="00EB2A43"/>
    <w:rsid w:val="00EC0BF5"/>
    <w:rsid w:val="00EF1E29"/>
    <w:rsid w:val="00F07095"/>
    <w:rsid w:val="00F13526"/>
    <w:rsid w:val="00F4050B"/>
    <w:rsid w:val="00FC57A5"/>
    <w:rsid w:val="00FD0488"/>
    <w:rsid w:val="00FD2986"/>
    <w:rsid w:val="00FD5C17"/>
    <w:rsid w:val="00FF3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B6E35D14-6B6D-4DC0-A8F9-F884BD11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Revision">
    <w:name w:val="Revision"/>
    <w:hidden/>
    <w:uiPriority w:val="99"/>
    <w:semiHidden/>
    <w:rsid w:val="00D570A7"/>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3.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4.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5.xml><?xml version="1.0" encoding="utf-8"?>
<ds:datastoreItem xmlns:ds="http://schemas.openxmlformats.org/officeDocument/2006/customXml" ds:itemID="{5556B8ED-1C14-43D7-858A-541BD2956506}">
  <ds:schemaRefs>
    <ds:schemaRef ds:uri="http://schemas.microsoft.com/office/2006/documentManagement/types"/>
    <ds:schemaRef ds:uri="http://schemas.microsoft.com/office/infopath/2007/PartnerControls"/>
    <ds:schemaRef ds:uri="cee3f65b-6be8-4e23-8e61-cd1ede5b035c"/>
    <ds:schemaRef ds:uri="6eaf17f7-cbe0-45e1-ad47-38d2cef99e57"/>
    <ds:schemaRef ds:uri="http://purl.org/dc/elements/1.1/"/>
    <ds:schemaRef ds:uri="http://schemas.microsoft.com/office/2006/metadata/properties"/>
    <ds:schemaRef ds:uri="eb8dbbb7-6de1-4957-84dd-88d235fe7bc5"/>
    <ds:schemaRef ds:uri="http://www.w3.org/XML/1998/namespace"/>
    <ds:schemaRef ds:uri="http://schemas.openxmlformats.org/package/2006/metadata/core-properties"/>
    <ds:schemaRef ds:uri="http://purl.org/dc/dcmitype/"/>
    <ds:schemaRef ds:uri="http://purl.org/dc/terms/"/>
  </ds:schemaRefs>
</ds:datastoreItem>
</file>

<file path=customXml/itemProps6.xml><?xml version="1.0" encoding="utf-8"?>
<ds:datastoreItem xmlns:ds="http://schemas.openxmlformats.org/officeDocument/2006/customXml" ds:itemID="{6199E0B8-A2E2-4619-AA07-5CF24037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4</cp:revision>
  <dcterms:created xsi:type="dcterms:W3CDTF">2026-01-12T15:07:00Z</dcterms:created>
  <dcterms:modified xsi:type="dcterms:W3CDTF">2026-01-21T10:00:00Z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